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0"/>
        <w:ind/>
        <w:jc w:val="center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 xml:space="preserve">Standardowy formularz informacyjny</w:t>
      </w:r>
      <w:r>
        <w:rPr>
          <w:rFonts w:ascii="Palatino Linotype" w:hAnsi="Palatino Linotype"/>
          <w:b/>
        </w:rPr>
      </w:r>
    </w:p>
    <w:p>
      <w:pPr>
        <w:pBdr/>
        <w:spacing w:after="0"/>
        <w:ind/>
        <w:jc w:val="center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 xml:space="preserve">do umów o</w:t>
      </w:r>
      <w:r>
        <w:rPr>
          <w:rFonts w:ascii="Palatino Linotype" w:hAnsi="Palatino Linotype"/>
          <w:b/>
        </w:rPr>
        <w:t xml:space="preserve"> udział w imprezie turystycznej </w:t>
      </w:r>
      <w:r>
        <w:rPr>
          <w:rFonts w:ascii="Palatino Linotype" w:hAnsi="Palatino Linotype"/>
          <w:b/>
        </w:rPr>
      </w:r>
    </w:p>
    <w:p>
      <w:pPr>
        <w:pBdr/>
        <w:spacing w:after="0"/>
        <w:ind/>
        <w:jc w:val="center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 xml:space="preserve">z użyciem hiperłącza </w:t>
      </w:r>
      <w:r>
        <w:rPr>
          <w:rFonts w:ascii="Palatino Linotype" w:hAnsi="Palatino Linotype"/>
          <w:b/>
        </w:rPr>
      </w:r>
    </w:p>
    <w:p>
      <w:pPr>
        <w:pBdr/>
        <w:spacing w:after="0"/>
        <w:ind/>
        <w:jc w:val="center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</w:r>
      <w:r>
        <w:rPr>
          <w:rFonts w:ascii="Palatino Linotype" w:hAnsi="Palatino Linotype"/>
          <w:b/>
        </w:rPr>
      </w:r>
    </w:p>
    <w:p>
      <w:pPr>
        <w:pBdr/>
        <w:spacing/>
        <w:ind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Organizator turystyki i pośrednik turystyczny </w:t>
      </w:r>
      <w:r>
        <w:rPr>
          <w:rFonts w:ascii="Palatino Linotype" w:hAnsi="Palatino Linotype"/>
          <w:b/>
        </w:rPr>
        <w:t xml:space="preserve">Katarzyna Tomczak- </w:t>
      </w:r>
      <w:r>
        <w:rPr>
          <w:rFonts w:ascii="Palatino Linotype" w:hAnsi="Palatino Linotype"/>
          <w:b/>
        </w:rPr>
        <w:t xml:space="preserve">Stosiak</w:t>
      </w:r>
      <w:r>
        <w:rPr>
          <w:rFonts w:ascii="Palatino Linotype" w:hAnsi="Palatino Linotype"/>
        </w:rPr>
        <w:t xml:space="preserve"> prowadząca działalność gospodarczą pod firmą: </w:t>
      </w:r>
      <w:r>
        <w:rPr>
          <w:rFonts w:ascii="Palatino Linotype" w:hAnsi="Palatino Linotype"/>
          <w:b/>
        </w:rPr>
        <w:t xml:space="preserve">Adventure Katarzyna </w:t>
      </w:r>
      <w:r>
        <w:rPr>
          <w:rFonts w:ascii="Palatino Linotype" w:hAnsi="Palatino Linotype"/>
          <w:b/>
        </w:rPr>
        <w:t xml:space="preserve">Tomaczak</w:t>
      </w:r>
      <w:r>
        <w:rPr>
          <w:rFonts w:ascii="Palatino Linotype" w:hAnsi="Palatino Linotype"/>
          <w:b/>
        </w:rPr>
        <w:t xml:space="preserve"> – </w:t>
      </w:r>
      <w:r>
        <w:rPr>
          <w:rFonts w:ascii="Palatino Linotype" w:hAnsi="Palatino Linotype"/>
          <w:b/>
        </w:rPr>
        <w:t xml:space="preserve">Stosiak</w:t>
      </w:r>
      <w:r>
        <w:rPr>
          <w:rFonts w:ascii="Palatino Linotype" w:hAnsi="Palatino Linotype"/>
        </w:rPr>
        <w:t xml:space="preserve"> przy ul. Józefa Paschalisa Jakubowicza 54, 05-080 Lipków</w:t>
      </w:r>
      <w:r>
        <w:rPr>
          <w:rFonts w:ascii="Palatino Linotype" w:hAnsi="Palatino Linotype"/>
        </w:rPr>
        <w:t xml:space="preserve"> NIP: 522 214 02 18 </w:t>
      </w:r>
      <w:r>
        <w:rPr>
          <w:rFonts w:ascii="Palatino Linotype" w:hAnsi="Palatino Linotype"/>
        </w:rPr>
        <w:t xml:space="preserve">(zwana dalej: Adventure Katarzyna Tomczak- </w:t>
      </w:r>
      <w:r>
        <w:rPr>
          <w:rFonts w:ascii="Palatino Linotype" w:hAnsi="Palatino Linotype"/>
        </w:rPr>
        <w:t xml:space="preserve">Stosiak</w:t>
      </w:r>
      <w:r>
        <w:rPr>
          <w:rFonts w:ascii="Palatino Linotype" w:hAnsi="Palatino Linotype"/>
        </w:rPr>
        <w:t xml:space="preserve">) </w:t>
      </w:r>
      <w:r>
        <w:rPr>
          <w:rFonts w:ascii="Palatino Linotype" w:hAnsi="Palatino Linotype"/>
        </w:rPr>
        <w:t xml:space="preserve">informuje, że: </w:t>
      </w:r>
      <w:r>
        <w:rPr>
          <w:rFonts w:ascii="Palatino Linotype" w:hAnsi="Palatino Linotype"/>
        </w:rPr>
      </w:r>
    </w:p>
    <w:p>
      <w:pPr>
        <w:pBdr/>
        <w:spacing/>
        <w:ind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- </w:t>
      </w:r>
      <w:r>
        <w:rPr>
          <w:rFonts w:ascii="Palatino Linotype" w:hAnsi="Palatino Linotype"/>
        </w:rPr>
        <w:t xml:space="preserve">Zaoferowane Państwu połączenie usług turystycznych stanowi imprezę turystyczną w rozumieniu dyrektywy (UE) 2015/2302.</w:t>
      </w:r>
      <w:r>
        <w:rPr>
          <w:rFonts w:ascii="Palatino Linotype" w:hAnsi="Palatino Linotype"/>
        </w:rPr>
      </w:r>
    </w:p>
    <w:p>
      <w:pPr>
        <w:pBdr/>
        <w:spacing/>
        <w:ind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- </w:t>
      </w:r>
      <w:r>
        <w:rPr>
          <w:rFonts w:ascii="Palatino Linotype" w:hAnsi="Palatino Linotype"/>
        </w:rPr>
        <w:t xml:space="preserve">W związku z powyższym będą Państwu przysługiwały wszystkie prawa UE mające zastosowanie do imprez tu</w:t>
      </w:r>
      <w:r>
        <w:rPr>
          <w:rFonts w:ascii="Palatino Linotype" w:hAnsi="Palatino Linotype"/>
        </w:rPr>
        <w:t xml:space="preserve">rystycznych. Przedsiębiorstwo </w:t>
      </w:r>
      <w:r>
        <w:rPr>
          <w:rFonts w:ascii="Palatino Linotype" w:hAnsi="Palatino Linotype"/>
          <w:b/>
        </w:rPr>
        <w:t xml:space="preserve">Adventure</w:t>
      </w:r>
      <w:r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  <w:b/>
        </w:rPr>
        <w:t xml:space="preserve">Katarzyna Tomczak – </w:t>
      </w:r>
      <w:r>
        <w:rPr>
          <w:rFonts w:ascii="Palatino Linotype" w:hAnsi="Palatino Linotype"/>
          <w:b/>
        </w:rPr>
        <w:t xml:space="preserve">Stosiak</w:t>
      </w:r>
      <w:r>
        <w:rPr>
          <w:rFonts w:ascii="Palatino Linotype" w:hAnsi="Palatino Linotype"/>
          <w:b/>
        </w:rPr>
        <w:t xml:space="preserve"> </w:t>
      </w:r>
      <w:r>
        <w:rPr>
          <w:rFonts w:ascii="Palatino Linotype" w:hAnsi="Palatino Linotype"/>
        </w:rPr>
        <w:t xml:space="preserve">będzie </w:t>
      </w:r>
      <w:r>
        <w:rPr>
          <w:rFonts w:ascii="Palatino Linotype" w:hAnsi="Palatino Linotype"/>
        </w:rPr>
        <w:t xml:space="preserve">ponosiła</w:t>
      </w:r>
      <w:r>
        <w:rPr>
          <w:rFonts w:ascii="Palatino Linotype" w:hAnsi="Palatino Linotype"/>
        </w:rPr>
        <w:t xml:space="preserve"> pełną odpowiedzialność za należytą realizacj</w:t>
      </w:r>
      <w:r>
        <w:rPr>
          <w:rFonts w:ascii="Palatino Linotype" w:hAnsi="Palatino Linotype"/>
        </w:rPr>
        <w:t xml:space="preserve">ę całości imprezy turystycznej.</w:t>
      </w:r>
      <w:r>
        <w:rPr>
          <w:rFonts w:ascii="Palatino Linotype" w:hAnsi="Palatino Linotype"/>
        </w:rPr>
      </w:r>
    </w:p>
    <w:p>
      <w:pPr>
        <w:pBdr/>
        <w:spacing/>
        <w:ind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- </w:t>
      </w:r>
      <w:r>
        <w:rPr>
          <w:rFonts w:ascii="Palatino Linotype" w:hAnsi="Palatino Linotype"/>
        </w:rPr>
        <w:t xml:space="preserve">Ponadto, zgodnie z wymogami prawa, przedsiębiorstwo </w:t>
      </w:r>
      <w:r>
        <w:rPr>
          <w:rFonts w:ascii="Palatino Linotype" w:hAnsi="Palatino Linotype"/>
          <w:b/>
        </w:rPr>
        <w:t xml:space="preserve">Adventure</w:t>
      </w:r>
      <w:r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  <w:b/>
        </w:rPr>
        <w:t xml:space="preserve">Katarzyna Tomczak – </w:t>
      </w:r>
      <w:r>
        <w:rPr>
          <w:rFonts w:ascii="Palatino Linotype" w:hAnsi="Palatino Linotype"/>
          <w:b/>
        </w:rPr>
        <w:t xml:space="preserve">Stosiak</w:t>
      </w:r>
      <w:r>
        <w:rPr>
          <w:rFonts w:ascii="Palatino Linotype" w:hAnsi="Palatino Linotype"/>
          <w:b/>
        </w:rPr>
        <w:t xml:space="preserve"> </w:t>
      </w:r>
      <w:r>
        <w:rPr>
          <w:rFonts w:ascii="Palatino Linotype" w:hAnsi="Palatino Linotype"/>
        </w:rPr>
        <w:t xml:space="preserve">posiada</w:t>
      </w:r>
      <w:r>
        <w:rPr>
          <w:rFonts w:ascii="Palatino Linotype" w:hAnsi="Palatino Linotype"/>
        </w:rPr>
        <w:t xml:space="preserve"> zabezpieczenie w celu zapewnienia zwrotu Państwa wpłat i, jeżeli transport jest elementem imprezy turystycz</w:t>
      </w:r>
      <w:r>
        <w:rPr>
          <w:rFonts w:ascii="Palatino Linotype" w:hAnsi="Palatino Linotype"/>
        </w:rPr>
        <w:t xml:space="preserve">nej, zapewnienia Państwa powrót</w:t>
      </w:r>
      <w:r>
        <w:rPr>
          <w:rFonts w:ascii="Palatino Linotype" w:hAnsi="Palatino Linotype"/>
        </w:rPr>
        <w:t xml:space="preserve"> do kraju w przypadku, gdyby przedsiębiorstwo </w:t>
      </w:r>
      <w:r>
        <w:rPr>
          <w:rFonts w:ascii="Palatino Linotype" w:hAnsi="Palatino Linotype"/>
          <w:b/>
        </w:rPr>
        <w:t xml:space="preserve">Adventure</w:t>
      </w:r>
      <w:r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  <w:b/>
        </w:rPr>
        <w:t xml:space="preserve">Katarzyna Tomczak – </w:t>
      </w:r>
      <w:r>
        <w:rPr>
          <w:rFonts w:ascii="Palatino Linotype" w:hAnsi="Palatino Linotype"/>
          <w:b/>
        </w:rPr>
        <w:t xml:space="preserve">Stosiak</w:t>
      </w:r>
      <w:r>
        <w:rPr>
          <w:rFonts w:ascii="Palatino Linotype" w:hAnsi="Palatino Linotype"/>
          <w:b/>
        </w:rPr>
        <w:t xml:space="preserve"> </w:t>
      </w:r>
      <w:r>
        <w:rPr>
          <w:rFonts w:ascii="Palatino Linotype" w:hAnsi="Palatino Linotype"/>
        </w:rPr>
        <w:t xml:space="preserve">stało się niewypłacalne.</w:t>
      </w:r>
      <w:r>
        <w:rPr>
          <w:rFonts w:ascii="Palatino Linotype" w:hAnsi="Palatino Linotype"/>
        </w:rPr>
      </w:r>
    </w:p>
    <w:p>
      <w:pPr>
        <w:pBdr/>
        <w:spacing/>
        <w:ind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Więcej informacji dotyczących najważniejszych praw zgodnie z dyrektywą (UE) 2015/2302 </w:t>
      </w:r>
      <w:r>
        <w:rPr>
          <w:rFonts w:ascii="Palatino Linotype" w:hAnsi="Palatino Linotype"/>
        </w:rPr>
        <w:t xml:space="preserve">uzyskają Państwo pod linkiem </w:t>
      </w:r>
      <w:r>
        <w:rPr>
          <w:rFonts w:ascii="Palatino Linotype" w:hAnsi="Palatino Linotype"/>
        </w:rPr>
      </w:r>
    </w:p>
    <w:p>
      <w:pPr>
        <w:pBdr/>
        <w:spacing/>
        <w:ind/>
        <w:jc w:val="both"/>
        <w:rPr>
          <w:rFonts w:ascii="Palatino Linotype" w:hAnsi="Palatino Linotype"/>
        </w:rPr>
      </w:pPr>
      <w:r/>
      <w:hyperlink r:id="rId9" w:tooltip="https://isap.sejm.gov.pl/isap.nsf/DocDetails.xsp?id=WDU20170002361" w:history="1">
        <w:r>
          <w:rPr>
            <w:rStyle w:val="699"/>
            <w:rFonts w:ascii="Palatino Linotype" w:hAnsi="Palatino Linotype"/>
          </w:rPr>
          <w:t xml:space="preserve">https://isap.sejm.gov.pl/isap.nsf/DocDetails.xsp?id=WDU20170002361</w:t>
        </w:r>
      </w:hyperlink>
      <w:r/>
      <w:r>
        <w:rPr>
          <w:rFonts w:ascii="Palatino Linotype" w:hAnsi="Palatino Linotype"/>
        </w:rPr>
      </w:r>
    </w:p>
    <w:p>
      <w:pPr>
        <w:pBdr/>
        <w:spacing/>
        <w:ind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- </w:t>
      </w:r>
      <w:r>
        <w:rPr>
          <w:rFonts w:ascii="Palatino Linotype" w:hAnsi="Palatino Linotype"/>
        </w:rPr>
        <w:t xml:space="preserve">Korzystając z hiperłącza, podróżny </w:t>
      </w:r>
      <w:r>
        <w:rPr>
          <w:rFonts w:ascii="Palatino Linotype" w:hAnsi="Palatino Linotype"/>
        </w:rPr>
        <w:t xml:space="preserve">otrzyma następujące informacje:</w:t>
      </w:r>
      <w:r>
        <w:rPr>
          <w:rFonts w:ascii="Palatino Linotype" w:hAnsi="Palatino Linotype"/>
        </w:rPr>
      </w:r>
    </w:p>
    <w:p>
      <w:pPr>
        <w:pBdr/>
        <w:spacing/>
        <w:ind/>
        <w:jc w:val="both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 xml:space="preserve">Najważniejsze prawa zgo</w:t>
      </w:r>
      <w:r>
        <w:rPr>
          <w:rFonts w:ascii="Palatino Linotype" w:hAnsi="Palatino Linotype"/>
          <w:b/>
        </w:rPr>
        <w:t xml:space="preserve">dnie z dyrektywą (UE) 2015/2302</w:t>
      </w:r>
      <w:r>
        <w:rPr>
          <w:rFonts w:ascii="Palatino Linotype" w:hAnsi="Palatino Linotype"/>
          <w:b/>
        </w:rPr>
      </w:r>
    </w:p>
    <w:p>
      <w:pPr>
        <w:pBdr/>
        <w:spacing/>
        <w:ind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- Przed zawarciem umowy o udział w imprezie turystycznej podróżni otrzymają wszystkie niezbędne informacje na temat imprezy turystycznej.</w:t>
      </w:r>
      <w:r>
        <w:rPr>
          <w:rFonts w:ascii="Palatino Linotype" w:hAnsi="Palatino Linotype"/>
        </w:rPr>
      </w:r>
    </w:p>
    <w:p>
      <w:pPr>
        <w:pBdr/>
        <w:spacing/>
        <w:ind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- Zawsze co najmniej jeden przedsiębiorca ponosi odpowiedzialność za należyte wykonanie wszystkich usług turystycznych objętych umową.</w:t>
      </w:r>
      <w:r>
        <w:rPr>
          <w:rFonts w:ascii="Palatino Linotype" w:hAnsi="Palatino Linotype"/>
        </w:rPr>
      </w:r>
    </w:p>
    <w:p>
      <w:pPr>
        <w:pBdr/>
        <w:spacing/>
        <w:ind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- Podróżni otrzymują awaryjny numer telefonu lub dane punktu kontaktowego, dzięki którym mogą skontaktować się z organizatorem turystyki lub agentem turystycznym.</w:t>
      </w:r>
      <w:r>
        <w:rPr>
          <w:rFonts w:ascii="Palatino Linotype" w:hAnsi="Palatino Linotype"/>
        </w:rPr>
      </w:r>
    </w:p>
    <w:p>
      <w:pPr>
        <w:pBdr/>
        <w:spacing/>
        <w:ind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- Podróżni mogą przenieść imprezę turystyczną na inną osobę, powiadamiając o tym w rozsądnym terminie, z zastrzeżeniem ewentualnych dodatkowych kosztów.</w:t>
      </w:r>
      <w:r>
        <w:rPr>
          <w:rFonts w:ascii="Palatino Linotype" w:hAnsi="Palatino Linotype"/>
        </w:rPr>
      </w:r>
    </w:p>
    <w:p>
      <w:pPr>
        <w:pBdr/>
        <w:spacing/>
        <w:ind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- Cena </w:t>
      </w:r>
      <w:r>
        <w:rPr>
          <w:rFonts w:ascii="Palatino Linotype" w:hAnsi="Palatino Linotype"/>
        </w:rPr>
        <w:t xml:space="preserve">imprezy turystycznej może zostać podwyższona jedynie wtedy, gdy wzrosną określone koszty (na przykład koszty paliwa) i zostało to wyraźnie przewidziane w umowie; w żadnym przypadku podwyżka ceny nie może nastąpić później niż 20 dni przed rozpoczęciem impre</w:t>
      </w:r>
      <w:r>
        <w:rPr>
          <w:rFonts w:ascii="Palatino Linotype" w:hAnsi="Palatino Linotype"/>
        </w:rPr>
        <w:t xml:space="preserve">zy turystycznej. Jeżeli podwyżka ceny przekracza 8% ceny imprezy turystycznej, podróżny może rozwiązać umowę. Jeśli organizator turystyki zastrzega sobie prawo do podwyższenia ceny, podróżny ma prawo do obniżki ceny, jeżeli obniżyły się odpowiednie koszty.</w:t>
      </w:r>
      <w:r>
        <w:rPr>
          <w:rFonts w:ascii="Palatino Linotype" w:hAnsi="Palatino Linotype"/>
        </w:rPr>
      </w:r>
    </w:p>
    <w:p>
      <w:pPr>
        <w:pBdr/>
        <w:spacing/>
        <w:ind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- Podróżni mogą rozwiązać umowę bez ponoszenia jakiejkolwiek opłaty za rozwiązanie i uzyskać pełen zwrot wszelkich wpłat, jeżeli jeden z istot</w:t>
      </w:r>
      <w:r>
        <w:rPr>
          <w:rFonts w:ascii="Palatino Linotype" w:hAnsi="Palatino Linotype"/>
        </w:rPr>
        <w:t xml:space="preserve">nych elementów imprezy turystycznej, inny niż cena, zmieni się w znaczący sposób. Jeżeli przedsiębiorca odpowiedzialny za imprezę turystyczną odwoła ją przed rozpoczęciem, podróżni mają prawo do zwrotu wpłat oraz, w stosownych przypadkach, do rekompensaty.</w:t>
      </w:r>
      <w:r>
        <w:rPr>
          <w:rFonts w:ascii="Palatino Linotype" w:hAnsi="Palatino Linotype"/>
        </w:rPr>
      </w:r>
    </w:p>
    <w:p>
      <w:pPr>
        <w:pBdr/>
        <w:spacing/>
        <w:ind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- W wyjątkowych okolicznościach - na przykład j</w:t>
      </w:r>
      <w:r>
        <w:rPr>
          <w:rFonts w:ascii="Palatino Linotype" w:hAnsi="Palatino Linotype"/>
        </w:rPr>
        <w:t xml:space="preserve">eżeli w docelowym miejscu podróży występują poważne problemy związane z bezpieczeństwem, które mogą wpłynąć na imprezę turystyczną - podróżni mogą, przed rozpoczęciem imprezy turystycznej, rozwiązać umowę bez ponoszenia jakiejkolwiek opłaty za rozwiązanie.</w:t>
      </w:r>
      <w:r>
        <w:rPr>
          <w:rFonts w:ascii="Palatino Linotype" w:hAnsi="Palatino Linotype"/>
        </w:rPr>
      </w:r>
    </w:p>
    <w:p>
      <w:pPr>
        <w:pBdr/>
        <w:spacing/>
        <w:ind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- Ponadto podróżni mogą w każdym momencie przed rozpoczęciem imprezy turystycznej rozwiązać umowę za odpowiednią i możliwą do uzasadnienia opłatą.</w:t>
      </w:r>
      <w:r>
        <w:rPr>
          <w:rFonts w:ascii="Palatino Linotype" w:hAnsi="Palatino Linotype"/>
        </w:rPr>
      </w:r>
    </w:p>
    <w:p>
      <w:pPr>
        <w:pBdr/>
        <w:spacing/>
        <w:ind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- Jeżeli po rozpoczęciu imprezy turystycznej jej znaczące elementy nie mogą zostać zrealizowane zgodnie z umową, będą musiały zostać zaproponowane podróżnemu, bez dodatkowych kosztó</w:t>
      </w:r>
      <w:r>
        <w:rPr>
          <w:rFonts w:ascii="Palatino Linotype" w:hAnsi="Palatino Linotype"/>
        </w:rPr>
        <w:t xml:space="preserve">w, odpowiednie alternatywne usługi. W przypadku gdy usługi nie są świadczone zgodnie z umową, co istotnie wpływa na realizację imprezy turystycznej, a organizator turystyki nie zdoła usunąć problemu, podróżni mogą rozwiązać umowę bez opłaty za rozwiązanie.</w:t>
      </w:r>
      <w:r>
        <w:rPr>
          <w:rFonts w:ascii="Palatino Linotype" w:hAnsi="Palatino Linotype"/>
        </w:rPr>
      </w:r>
    </w:p>
    <w:p>
      <w:pPr>
        <w:pBdr/>
        <w:spacing/>
        <w:ind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- Podróżni są również uprawnieni do otrzymania obniżki ceny lub rekompensaty za szkodę w przypadku niewykonania lub nienależytego wykonania usług turystycznych.</w:t>
      </w:r>
      <w:r>
        <w:rPr>
          <w:rFonts w:ascii="Palatino Linotype" w:hAnsi="Palatino Linotype"/>
        </w:rPr>
      </w:r>
    </w:p>
    <w:p>
      <w:pPr>
        <w:pBdr/>
        <w:spacing/>
        <w:ind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- Organizator turystyki musi zapewnić pomoc podróżnemu, który znajdzie się w trudnej sy</w:t>
      </w:r>
      <w:r>
        <w:rPr>
          <w:rFonts w:ascii="Palatino Linotype" w:hAnsi="Palatino Linotype"/>
        </w:rPr>
        <w:t xml:space="preserve">tuacji. - W przypadku gdy organizator turystyki stanie się niewypłacalny, wpłaty zostaną zwrócone. Jeżeli organizator turystyki stanie się niewypłacalny po rozpoczęciu imprezy turystycznej i jeżeli impreza turystyczna obejmuje transport, zapewniony jest po</w:t>
      </w:r>
      <w:r>
        <w:rPr>
          <w:rFonts w:ascii="Palatino Linotype" w:hAnsi="Palatino Linotype"/>
        </w:rPr>
        <w:t xml:space="preserve">wrót podróżnych do kraju. </w:t>
      </w:r>
      <w:r>
        <w:rPr>
          <w:rFonts w:ascii="Palatino Linotype" w:hAnsi="Palatino Linotype"/>
          <w:b/>
        </w:rPr>
        <w:t xml:space="preserve">Adventure</w:t>
      </w:r>
      <w:r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  <w:b/>
        </w:rPr>
        <w:t xml:space="preserve">Katarzyna Tomczak – </w:t>
      </w:r>
      <w:r>
        <w:rPr>
          <w:rFonts w:ascii="Palatino Linotype" w:hAnsi="Palatino Linotype"/>
          <w:b/>
        </w:rPr>
        <w:t xml:space="preserve">Stosiak</w:t>
      </w:r>
      <w:r>
        <w:rPr>
          <w:rFonts w:ascii="Palatino Linotype" w:hAnsi="Palatino Linotype"/>
          <w:b/>
        </w:rPr>
        <w:t xml:space="preserve"> </w:t>
      </w:r>
      <w:r>
        <w:rPr>
          <w:rFonts w:ascii="Palatino Linotype" w:hAnsi="Palatino Linotype"/>
        </w:rPr>
        <w:t xml:space="preserve">wykupił w SIGNAL IDUNA POLSKA Towarzystwo Ubezpieczeń S.A. (</w:t>
      </w:r>
      <w:r>
        <w:rPr>
          <w:rFonts w:ascii="Palatino Linotype" w:hAnsi="Palatino Linotype"/>
        </w:rPr>
        <w:t xml:space="preserve">ul. Przyokopowa 31, 01-208 Warszawa</w:t>
      </w:r>
      <w:r>
        <w:rPr>
          <w:rFonts w:ascii="Palatino Linotype" w:hAnsi="Palatino Linotype"/>
        </w:rPr>
        <w:t xml:space="preserve">) </w:t>
      </w:r>
      <w:r>
        <w:rPr>
          <w:rFonts w:ascii="Palatino Linotype" w:hAnsi="Palatino Linotype"/>
        </w:rPr>
        <w:t xml:space="preserve">zabezpieczenie na wypadek niewypłacalności. Podróżni mogą kontakt</w:t>
      </w:r>
      <w:r>
        <w:rPr>
          <w:rFonts w:ascii="Palatino Linotype" w:hAnsi="Palatino Linotype"/>
        </w:rPr>
        <w:t xml:space="preserve">ować się z tym podmiotem lub, w odpowiednich przypadkach, z właściwym organem (dane kontaktowe, wraz z nazwą, adresem geograficznym, adresem poczty elektronicznej i numerem telefonu), jeżeli z powodu niewypłacalności XY dojdzie do odmowy świadczenia usług.</w:t>
      </w:r>
      <w:r>
        <w:rPr>
          <w:rFonts w:ascii="Palatino Linotype" w:hAnsi="Palatino Linotype"/>
        </w:rPr>
      </w:r>
    </w:p>
    <w:p>
      <w:pPr>
        <w:pBdr/>
        <w:spacing/>
        <w:ind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Dyrektywa</w:t>
      </w:r>
      <w:r>
        <w:rPr>
          <w:rFonts w:ascii="Palatino Linotype" w:hAnsi="Palatino Linotype"/>
        </w:rPr>
        <w:t xml:space="preserve">(UE) 2015/2302 </w:t>
      </w:r>
      <w:r>
        <w:rPr>
          <w:rFonts w:ascii="Palatino Linotype" w:hAnsi="Palatino Linotype"/>
        </w:rPr>
      </w:r>
    </w:p>
    <w:p>
      <w:pPr>
        <w:pBdr/>
        <w:spacing/>
        <w:ind/>
        <w:jc w:val="both"/>
        <w:rPr>
          <w:rFonts w:ascii="Palatino Linotype" w:hAnsi="Palatino Linotype"/>
          <w:u w:val="single"/>
        </w:rPr>
      </w:pPr>
      <w:r/>
      <w:hyperlink r:id="rId10" w:tooltip="https://eur-lex.europa.eu/legal-content/PL/ALL/?uri=CELEX:32015L2302" w:history="1">
        <w:r>
          <w:rPr>
            <w:rStyle w:val="699"/>
            <w:rFonts w:ascii="Palatino Linotype" w:hAnsi="Palatino Linotype"/>
          </w:rPr>
          <w:t xml:space="preserve">https://eur-lex.europa.eu/legal-content/PL/ALL/?uri=CELEX:32015L2302</w:t>
        </w:r>
      </w:hyperlink>
      <w:r/>
      <w:r>
        <w:rPr>
          <w:rFonts w:ascii="Palatino Linotype" w:hAnsi="Palatino Linotype"/>
          <w:u w:val="single"/>
        </w:rPr>
      </w:r>
    </w:p>
    <w:p>
      <w:pPr>
        <w:pBdr/>
        <w:spacing/>
        <w:ind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przetransponowana </w:t>
      </w:r>
      <w:r>
        <w:rPr>
          <w:rFonts w:ascii="Palatino Linotype" w:hAnsi="Palatino Linotype"/>
        </w:rPr>
        <w:t xml:space="preserve">do prawa krajowego </w:t>
      </w:r>
      <w:r>
        <w:rPr>
          <w:rFonts w:ascii="Palatino Linotype" w:hAnsi="Palatino Linotype"/>
        </w:rPr>
      </w:r>
    </w:p>
    <w:p>
      <w:pPr>
        <w:pBdr/>
        <w:spacing/>
        <w:ind/>
        <w:jc w:val="both"/>
        <w:rPr>
          <w:rFonts w:ascii="Palatino Linotype" w:hAnsi="Palatino Linotype"/>
        </w:rPr>
      </w:pPr>
      <w:r/>
      <w:hyperlink r:id="rId11" w:tooltip="https://isap.sejm.gov.pl/isap.nsf/DocDetails.xsp?id=WDU20170002361" w:history="1">
        <w:r>
          <w:rPr>
            <w:rStyle w:val="699"/>
            <w:rFonts w:ascii="Palatino Linotype" w:hAnsi="Palatino Linotype"/>
          </w:rPr>
          <w:t xml:space="preserve">https://isap.sejm.gov.pl/isap.nsf/DocDetails.xsp?id=WDU20170002361</w:t>
        </w:r>
      </w:hyperlink>
      <w:r/>
      <w:r>
        <w:rPr>
          <w:rFonts w:ascii="Palatino Linotype" w:hAnsi="Palatino Linotype"/>
        </w:rPr>
      </w:r>
    </w:p>
    <w:p>
      <w:pPr>
        <w:pBdr/>
        <w:spacing/>
        <w:ind/>
        <w:jc w:val="both"/>
        <w:rPr>
          <w:rFonts w:ascii="Palatino Linotype" w:hAnsi="Palatino Linotype"/>
        </w:rPr>
      </w:pPr>
      <w:r/>
      <w:hyperlink r:id="rId12" w:tooltip="https://isap.sejm.gov.pl/isap.nsf/download.xsp/WDU20170002361/U/D20172361Lj.pdf" w:history="1">
        <w:r>
          <w:rPr>
            <w:rStyle w:val="699"/>
            <w:rFonts w:ascii="Palatino Linotype" w:hAnsi="Palatino Linotype"/>
          </w:rPr>
          <w:t xml:space="preserve">https://isap.sejm.gov.pl/isap.nsf/download.xsp/WDU20170002361/U/D20172361Lj.pdf</w:t>
        </w:r>
      </w:hyperlink>
      <w:r/>
      <w:r>
        <w:rPr>
          <w:rFonts w:ascii="Palatino Linotype" w:hAnsi="Palatino Linotype"/>
        </w:rPr>
      </w:r>
    </w:p>
    <w:p>
      <w:pPr>
        <w:pBdr/>
        <w:spacing/>
        <w:ind/>
        <w:jc w:val="both"/>
        <w:rPr>
          <w:rFonts w:ascii="Palatino Linotype" w:hAnsi="Palatino Linotype"/>
        </w:rPr>
      </w:pPr>
      <w:r/>
      <w:bookmarkStart w:id="0" w:name="_GoBack"/>
      <w:r/>
      <w:bookmarkEnd w:id="0"/>
      <w:r/>
      <w:r>
        <w:rPr>
          <w:rFonts w:ascii="Palatino Linotype" w:hAnsi="Palatino Linotype"/>
        </w:rPr>
      </w:r>
    </w:p>
    <w:p>
      <w:pPr>
        <w:pBdr/>
        <w:spacing/>
        <w:ind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…………………………….                                               ………………………………………..</w:t>
      </w:r>
      <w:r>
        <w:rPr>
          <w:rFonts w:ascii="Palatino Linotype" w:hAnsi="Palatino Linotype"/>
        </w:rPr>
      </w:r>
    </w:p>
    <w:p>
      <w:pPr>
        <w:pBdr/>
        <w:spacing/>
        <w:ind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miejscowość, data                                                             podpis</w:t>
      </w:r>
      <w:r>
        <w:rPr>
          <w:rFonts w:ascii="Palatino Linotype" w:hAnsi="Palatino Linotype"/>
        </w:rPr>
      </w:r>
    </w:p>
    <w:sectPr>
      <w:footerReference w:type="default" r:id="rId8"/>
      <w:footnotePr/>
      <w:endnotePr/>
      <w:type w:val="nextPage"/>
      <w:pgSz w:h="16838" w:orient="portrait" w:w="11906"/>
      <w:pgMar w:top="1417" w:right="1417" w:bottom="1417" w:left="1417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alatino Linotype">
    <w:panose1 w:val="02040502050405020303"/>
  </w:font>
  <w:font w:name="Segoe UI">
    <w:panose1 w:val="020B0502040504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0606845"/>
      <w:docPartObj>
        <w:docPartGallery w:val="Page Numbers (Bottom of Page)"/>
        <w:docPartUnique w:val="true"/>
      </w:docPartObj>
      <w:rPr/>
    </w:sdtPr>
    <w:sdtContent>
      <w:p>
        <w:pPr>
          <w:pStyle w:val="697"/>
          <w:pBdr/>
          <w:spacing/>
          <w:ind/>
          <w:jc w:val="right"/>
          <w:rPr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1</w:t>
        </w:r>
        <w:r>
          <w:fldChar w:fldCharType="end"/>
        </w:r>
        <w:r/>
      </w:p>
    </w:sdtContent>
  </w:sdt>
  <w:p>
    <w:pPr>
      <w:pStyle w:val="69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69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69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69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69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6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6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6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6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6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6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69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69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69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89"/>
    <w:next w:val="689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89"/>
    <w:next w:val="689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89"/>
    <w:next w:val="689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89"/>
    <w:next w:val="689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89"/>
    <w:next w:val="689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89"/>
    <w:next w:val="689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89"/>
    <w:next w:val="689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89"/>
    <w:next w:val="689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89"/>
    <w:next w:val="689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690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690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690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690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690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690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690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690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690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89"/>
    <w:next w:val="689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690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89"/>
    <w:next w:val="689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690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89"/>
    <w:next w:val="689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690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689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69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89"/>
    <w:next w:val="689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690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69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89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69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690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690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69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690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76">
    <w:name w:val="Header Char"/>
    <w:basedOn w:val="690"/>
    <w:link w:val="695"/>
    <w:uiPriority w:val="99"/>
    <w:pPr>
      <w:pBdr/>
      <w:spacing/>
      <w:ind/>
    </w:pPr>
  </w:style>
  <w:style w:type="character" w:styleId="178">
    <w:name w:val="Footer Char"/>
    <w:basedOn w:val="690"/>
    <w:link w:val="697"/>
    <w:uiPriority w:val="99"/>
    <w:pPr>
      <w:pBdr/>
      <w:spacing/>
      <w:ind/>
    </w:pPr>
  </w:style>
  <w:style w:type="paragraph" w:styleId="179">
    <w:name w:val="Caption"/>
    <w:basedOn w:val="689"/>
    <w:next w:val="68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8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690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690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8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690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690"/>
    <w:uiPriority w:val="99"/>
    <w:semiHidden/>
    <w:unhideWhenUsed/>
    <w:pPr>
      <w:pBdr/>
      <w:spacing/>
      <w:ind/>
    </w:pPr>
    <w:rPr>
      <w:vertAlign w:val="superscript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689"/>
    <w:next w:val="689"/>
    <w:uiPriority w:val="99"/>
    <w:unhideWhenUsed/>
    <w:pPr>
      <w:pBdr/>
      <w:spacing w:after="0" w:afterAutospacing="0"/>
      <w:ind/>
    </w:pPr>
  </w:style>
  <w:style w:type="paragraph" w:styleId="689" w:default="1">
    <w:name w:val="Normal"/>
    <w:qFormat/>
    <w:pPr>
      <w:pBdr/>
      <w:spacing/>
      <w:ind/>
    </w:pPr>
  </w:style>
  <w:style w:type="character" w:styleId="690" w:default="1">
    <w:name w:val="Default Paragraph Font"/>
    <w:uiPriority w:val="1"/>
    <w:unhideWhenUsed/>
    <w:pPr>
      <w:pBdr/>
      <w:spacing/>
      <w:ind/>
    </w:pPr>
  </w:style>
  <w:style w:type="table" w:styleId="69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92" w:default="1">
    <w:name w:val="No List"/>
    <w:uiPriority w:val="99"/>
    <w:semiHidden/>
    <w:unhideWhenUsed/>
    <w:pPr>
      <w:pBdr/>
      <w:spacing/>
      <w:ind/>
    </w:pPr>
  </w:style>
  <w:style w:type="paragraph" w:styleId="693">
    <w:name w:val="Balloon Text"/>
    <w:basedOn w:val="689"/>
    <w:link w:val="694"/>
    <w:uiPriority w:val="99"/>
    <w:semiHidden/>
    <w:unhideWhenUsed/>
    <w:pPr>
      <w:pBdr/>
      <w:spacing w:after="0" w:line="240" w:lineRule="auto"/>
      <w:ind/>
    </w:pPr>
    <w:rPr>
      <w:rFonts w:ascii="Segoe UI" w:hAnsi="Segoe UI" w:cs="Segoe UI"/>
      <w:sz w:val="18"/>
      <w:szCs w:val="18"/>
    </w:rPr>
  </w:style>
  <w:style w:type="character" w:styleId="694" w:customStyle="1">
    <w:name w:val="Tekst dymka Znak"/>
    <w:basedOn w:val="690"/>
    <w:link w:val="693"/>
    <w:uiPriority w:val="99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695">
    <w:name w:val="Header"/>
    <w:basedOn w:val="689"/>
    <w:link w:val="696"/>
    <w:uiPriority w:val="99"/>
    <w:unhideWhenUsed/>
    <w:pPr>
      <w:pBdr/>
      <w:tabs>
        <w:tab w:val="center" w:leader="none" w:pos="4536"/>
        <w:tab w:val="right" w:leader="none" w:pos="9072"/>
      </w:tabs>
      <w:spacing w:after="0" w:line="240" w:lineRule="auto"/>
      <w:ind/>
    </w:pPr>
  </w:style>
  <w:style w:type="character" w:styleId="696" w:customStyle="1">
    <w:name w:val="Nagłówek Znak"/>
    <w:basedOn w:val="690"/>
    <w:link w:val="695"/>
    <w:uiPriority w:val="99"/>
    <w:pPr>
      <w:pBdr/>
      <w:spacing/>
      <w:ind/>
    </w:pPr>
  </w:style>
  <w:style w:type="paragraph" w:styleId="697">
    <w:name w:val="Footer"/>
    <w:basedOn w:val="689"/>
    <w:link w:val="698"/>
    <w:uiPriority w:val="99"/>
    <w:unhideWhenUsed/>
    <w:pPr>
      <w:pBdr/>
      <w:tabs>
        <w:tab w:val="center" w:leader="none" w:pos="4536"/>
        <w:tab w:val="right" w:leader="none" w:pos="9072"/>
      </w:tabs>
      <w:spacing w:after="0" w:line="240" w:lineRule="auto"/>
      <w:ind/>
    </w:pPr>
  </w:style>
  <w:style w:type="character" w:styleId="698" w:customStyle="1">
    <w:name w:val="Stopka Znak"/>
    <w:basedOn w:val="690"/>
    <w:link w:val="697"/>
    <w:uiPriority w:val="99"/>
    <w:pPr>
      <w:pBdr/>
      <w:spacing/>
      <w:ind/>
    </w:pPr>
  </w:style>
  <w:style w:type="character" w:styleId="699">
    <w:name w:val="Hyperlink"/>
    <w:basedOn w:val="69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00">
    <w:name w:val="FollowedHyperlink"/>
    <w:basedOn w:val="69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Relationship Id="rId9" Type="http://schemas.openxmlformats.org/officeDocument/2006/relationships/hyperlink" Target="https://isap.sejm.gov.pl/isap.nsf/DocDetails.xsp?id=WDU20170002361" TargetMode="External"/><Relationship Id="rId10" Type="http://schemas.openxmlformats.org/officeDocument/2006/relationships/hyperlink" Target="https://eur-lex.europa.eu/legal-content/PL/ALL/?uri=CELEX:32015L2302" TargetMode="External"/><Relationship Id="rId11" Type="http://schemas.openxmlformats.org/officeDocument/2006/relationships/hyperlink" Target="https://isap.sejm.gov.pl/isap.nsf/DocDetails.xsp?id=WDU20170002361" TargetMode="External"/><Relationship Id="rId12" Type="http://schemas.openxmlformats.org/officeDocument/2006/relationships/hyperlink" Target="https://isap.sejm.gov.pl/isap.nsf/download.xsp/WDU20170002361/U/D20172361Lj.pdf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Adamowski</dc:creator>
  <cp:keywords/>
  <dc:description/>
  <cp:lastModifiedBy>Michał Janowicz</cp:lastModifiedBy>
  <cp:revision>17</cp:revision>
  <dcterms:created xsi:type="dcterms:W3CDTF">2025-04-01T10:07:00Z</dcterms:created>
  <dcterms:modified xsi:type="dcterms:W3CDTF">2025-06-13T11:01:31Z</dcterms:modified>
</cp:coreProperties>
</file>